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ED83" w14:textId="2CF10D5A" w:rsidR="007D5C99" w:rsidRPr="00D27C4C" w:rsidRDefault="0006132E" w:rsidP="007D5C99">
      <w:pPr>
        <w:spacing w:line="276" w:lineRule="auto"/>
        <w:jc w:val="center"/>
        <w:rPr>
          <w:rFonts w:ascii="Acumin Pro" w:hAnsi="Acumin Pro"/>
          <w:b/>
          <w:bCs/>
          <w:snapToGrid w:val="0"/>
          <w:color w:val="262626" w:themeColor="text1" w:themeTint="D9"/>
          <w:sz w:val="28"/>
          <w:szCs w:val="28"/>
          <w:u w:val="single"/>
        </w:rPr>
      </w:pPr>
      <w:r>
        <w:rPr>
          <w:rFonts w:ascii="Acumin Pro" w:hAnsi="Acumin Pro"/>
          <w:b/>
          <w:bCs/>
          <w:snapToGrid w:val="0"/>
          <w:color w:val="262626" w:themeColor="text1" w:themeTint="D9"/>
          <w:sz w:val="28"/>
          <w:szCs w:val="28"/>
          <w:u w:val="single"/>
        </w:rPr>
        <w:t>Heat Exchanger</w:t>
      </w:r>
      <w:r w:rsidR="007D5C99" w:rsidRPr="00D27C4C">
        <w:rPr>
          <w:rFonts w:ascii="Acumin Pro" w:hAnsi="Acumin Pro"/>
          <w:b/>
          <w:bCs/>
          <w:snapToGrid w:val="0"/>
          <w:color w:val="262626" w:themeColor="text1" w:themeTint="D9"/>
          <w:sz w:val="28"/>
          <w:szCs w:val="28"/>
          <w:u w:val="single"/>
        </w:rPr>
        <w:t xml:space="preserve"> Specifications</w:t>
      </w:r>
    </w:p>
    <w:p w14:paraId="3799F850" w14:textId="77777777" w:rsidR="00F95973" w:rsidRDefault="00F95973" w:rsidP="007D5C99">
      <w:pPr>
        <w:rPr>
          <w:rFonts w:ascii="Acumin Pro" w:hAnsi="Acumin Pro"/>
          <w:bCs/>
          <w:snapToGrid w:val="0"/>
          <w:color w:val="262626" w:themeColor="text1" w:themeTint="D9"/>
          <w:sz w:val="24"/>
        </w:rPr>
      </w:pPr>
    </w:p>
    <w:p w14:paraId="7D4B78BA" w14:textId="66F3A18D" w:rsidR="00F95973" w:rsidRPr="00D27C4C" w:rsidRDefault="00295E95" w:rsidP="007D5C99">
      <w:pPr>
        <w:rPr>
          <w:rFonts w:ascii="Acumin Pro" w:hAnsi="Acumin Pro"/>
          <w:b/>
          <w:snapToGrid w:val="0"/>
          <w:color w:val="262626" w:themeColor="text1" w:themeTint="D9"/>
          <w:sz w:val="24"/>
        </w:rPr>
      </w:pPr>
      <w:r>
        <w:rPr>
          <w:rFonts w:ascii="Acumin Pro" w:hAnsi="Acumin Pro"/>
          <w:b/>
          <w:snapToGrid w:val="0"/>
          <w:color w:val="262626" w:themeColor="text1" w:themeTint="D9"/>
          <w:sz w:val="24"/>
        </w:rPr>
        <w:t>AHRI</w:t>
      </w:r>
    </w:p>
    <w:p w14:paraId="1CC95BFD" w14:textId="77777777" w:rsidR="00295E95" w:rsidRDefault="007D5C99" w:rsidP="007D5C99">
      <w:pPr>
        <w:rPr>
          <w:rFonts w:ascii="Acumin Pro" w:hAnsi="Acumin Pro"/>
          <w:bCs/>
          <w:snapToGrid w:val="0"/>
          <w:color w:val="262626" w:themeColor="text1" w:themeTint="D9"/>
          <w:sz w:val="24"/>
        </w:rPr>
      </w:pPr>
      <w:r w:rsidRPr="007D5C99">
        <w:rPr>
          <w:rFonts w:ascii="Acumin Pro" w:hAnsi="Acumin Pro"/>
          <w:bCs/>
          <w:snapToGrid w:val="0"/>
          <w:color w:val="262626" w:themeColor="text1" w:themeTint="D9"/>
          <w:sz w:val="24"/>
        </w:rPr>
        <w:t>The plate heat exchangers shall be AHRI-certified in accordance with the AHRI Liquid to Liquid Heat Exchangers Certification Program.</w:t>
      </w:r>
    </w:p>
    <w:p w14:paraId="2AE11AD5" w14:textId="49A0F5C0" w:rsidR="007D5C99" w:rsidRPr="00295E95" w:rsidRDefault="007D5C99" w:rsidP="00295E95">
      <w:pPr>
        <w:rPr>
          <w:rFonts w:ascii="Acumin Pro" w:hAnsi="Acumin Pro"/>
          <w:b/>
          <w:bCs/>
          <w:sz w:val="24"/>
          <w:lang w:val="en-AU"/>
        </w:rPr>
      </w:pPr>
      <w:r w:rsidRPr="007D5C99">
        <w:rPr>
          <w:rFonts w:ascii="Acumin Pro" w:hAnsi="Acumin Pro"/>
          <w:b/>
          <w:bCs/>
          <w:sz w:val="24"/>
        </w:rPr>
        <w:t>“AHRI certificate to be included with technical specification/</w:t>
      </w:r>
      <w:proofErr w:type="gramStart"/>
      <w:r w:rsidRPr="007D5C99">
        <w:rPr>
          <w:rFonts w:ascii="Acumin Pro" w:hAnsi="Acumin Pro"/>
          <w:b/>
          <w:bCs/>
          <w:sz w:val="24"/>
        </w:rPr>
        <w:t>submission</w:t>
      </w:r>
      <w:proofErr w:type="gramEnd"/>
      <w:r w:rsidRPr="007D5C99">
        <w:rPr>
          <w:rFonts w:ascii="Acumin Pro" w:hAnsi="Acumin Pro"/>
          <w:b/>
          <w:bCs/>
          <w:sz w:val="24"/>
        </w:rPr>
        <w:t>”</w:t>
      </w:r>
    </w:p>
    <w:p w14:paraId="18CF2F21" w14:textId="39388A62" w:rsidR="007D5C99" w:rsidRPr="00295E95" w:rsidRDefault="00295E95" w:rsidP="007D5C99">
      <w:pPr>
        <w:spacing w:line="276" w:lineRule="auto"/>
        <w:rPr>
          <w:rFonts w:ascii="Acumin Pro" w:hAnsi="Acumin Pro"/>
          <w:b/>
          <w:strike/>
          <w:snapToGrid w:val="0"/>
          <w:color w:val="262626" w:themeColor="text1" w:themeTint="D9"/>
          <w:sz w:val="24"/>
        </w:rPr>
      </w:pPr>
      <w:r w:rsidRPr="00295E95">
        <w:rPr>
          <w:rFonts w:ascii="Acumin Pro" w:hAnsi="Acumin Pro"/>
          <w:b/>
          <w:snapToGrid w:val="0"/>
          <w:color w:val="262626" w:themeColor="text1" w:themeTint="D9"/>
          <w:sz w:val="24"/>
        </w:rPr>
        <w:t>“</w:t>
      </w:r>
      <w:r w:rsidR="007D5C99" w:rsidRPr="00295E95">
        <w:rPr>
          <w:rFonts w:ascii="Acumin Pro" w:hAnsi="Acumin Pro"/>
          <w:b/>
          <w:snapToGrid w:val="0"/>
          <w:color w:val="262626" w:themeColor="text1" w:themeTint="D9"/>
          <w:sz w:val="24"/>
        </w:rPr>
        <w:t xml:space="preserve">The PHE specifications as selected, shall be verified and registered by AHRI before </w:t>
      </w:r>
      <w:proofErr w:type="gramStart"/>
      <w:r w:rsidR="007D5C99" w:rsidRPr="00295E95">
        <w:rPr>
          <w:rFonts w:ascii="Acumin Pro" w:hAnsi="Acumin Pro"/>
          <w:b/>
          <w:snapToGrid w:val="0"/>
          <w:color w:val="262626" w:themeColor="text1" w:themeTint="D9"/>
          <w:sz w:val="24"/>
        </w:rPr>
        <w:t>purchase</w:t>
      </w:r>
      <w:proofErr w:type="gramEnd"/>
      <w:r w:rsidR="007D5C99" w:rsidRPr="00295E95">
        <w:rPr>
          <w:rFonts w:ascii="Acumin Pro" w:hAnsi="Acumin Pro"/>
          <w:b/>
          <w:snapToGrid w:val="0"/>
          <w:color w:val="262626" w:themeColor="text1" w:themeTint="D9"/>
          <w:sz w:val="24"/>
        </w:rPr>
        <w:t>”</w:t>
      </w:r>
    </w:p>
    <w:p w14:paraId="5F4FBEFB" w14:textId="77777777" w:rsidR="007D5C99" w:rsidRPr="007D5C99" w:rsidRDefault="007D5C99" w:rsidP="007D5C99">
      <w:pPr>
        <w:spacing w:line="276" w:lineRule="auto"/>
        <w:rPr>
          <w:rFonts w:ascii="Acumin Pro" w:hAnsi="Acumin Pro"/>
          <w:strike/>
          <w:snapToGrid w:val="0"/>
          <w:color w:val="262626" w:themeColor="text1" w:themeTint="D9"/>
          <w:sz w:val="24"/>
          <w:szCs w:val="24"/>
        </w:rPr>
      </w:pPr>
    </w:p>
    <w:p w14:paraId="115E93A7" w14:textId="687B8D44" w:rsidR="007D5C99" w:rsidRPr="007D5C99" w:rsidRDefault="007D5C99" w:rsidP="007D5C99">
      <w:pPr>
        <w:spacing w:line="276" w:lineRule="auto"/>
        <w:rPr>
          <w:rFonts w:ascii="Acumin Pro" w:hAnsi="Acumin Pro"/>
          <w:b/>
          <w:bCs/>
          <w:snapToGrid w:val="0"/>
          <w:color w:val="262626" w:themeColor="text1" w:themeTint="D9"/>
          <w:sz w:val="24"/>
          <w:szCs w:val="24"/>
        </w:rPr>
      </w:pPr>
      <w:r w:rsidRPr="007D5C99">
        <w:rPr>
          <w:rFonts w:ascii="Acumin Pro" w:hAnsi="Acumin Pro"/>
          <w:b/>
          <w:bCs/>
          <w:snapToGrid w:val="0"/>
          <w:color w:val="262626" w:themeColor="text1" w:themeTint="D9"/>
          <w:sz w:val="24"/>
          <w:szCs w:val="24"/>
        </w:rPr>
        <w:t>General</w:t>
      </w:r>
    </w:p>
    <w:p w14:paraId="745339CB" w14:textId="77777777" w:rsidR="007D5C99" w:rsidRPr="007D5C99" w:rsidRDefault="007D5C99" w:rsidP="007D5C99">
      <w:pPr>
        <w:pStyle w:val="ListParagraph"/>
        <w:numPr>
          <w:ilvl w:val="0"/>
          <w:numId w:val="5"/>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Supplier of the plate heat exchanger is Alfa Laval by Masterflow (phone 02 9748 2022) or equivalent.</w:t>
      </w:r>
    </w:p>
    <w:p w14:paraId="37DD0F91" w14:textId="677F352F" w:rsidR="007D5C99" w:rsidRPr="007D5C99" w:rsidRDefault="007D5C99" w:rsidP="007D5C99">
      <w:pPr>
        <w:pStyle w:val="ListParagraph"/>
        <w:numPr>
          <w:ilvl w:val="0"/>
          <w:numId w:val="5"/>
        </w:numPr>
        <w:spacing w:line="276" w:lineRule="auto"/>
        <w:rPr>
          <w:rFonts w:ascii="Acumin Pro" w:hAnsi="Acumin Pro"/>
          <w:snapToGrid w:val="0"/>
          <w:sz w:val="24"/>
        </w:rPr>
      </w:pPr>
      <w:r w:rsidRPr="007D5C99">
        <w:rPr>
          <w:rFonts w:ascii="Acumin Pro" w:hAnsi="Acumin Pro"/>
          <w:snapToGrid w:val="0"/>
          <w:sz w:val="24"/>
        </w:rPr>
        <w:t xml:space="preserve">Supplier shall provide 2 and 3D drawings and instruction manuals in local language for each heat exchanger. </w:t>
      </w:r>
    </w:p>
    <w:p w14:paraId="36AAFA07" w14:textId="77777777" w:rsidR="007D5C99" w:rsidRPr="007D5C99" w:rsidRDefault="007D5C99" w:rsidP="007D5C99">
      <w:pPr>
        <w:pStyle w:val="ListParagraph"/>
        <w:numPr>
          <w:ilvl w:val="0"/>
          <w:numId w:val="5"/>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All heat exchangers shall be produced in production facilities that are environmentally certified according to ISO 14001.</w:t>
      </w:r>
    </w:p>
    <w:p w14:paraId="5846BBE7" w14:textId="77777777" w:rsidR="007D5C99" w:rsidRDefault="007D5C99" w:rsidP="007D5C99">
      <w:pPr>
        <w:pStyle w:val="ListParagraph"/>
        <w:numPr>
          <w:ilvl w:val="0"/>
          <w:numId w:val="5"/>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 xml:space="preserve">All heat exchangers shall be tested with test pressure before delivery. Test sequence shall be 30 minutes on each side. Both sides shall be tested. </w:t>
      </w:r>
    </w:p>
    <w:p w14:paraId="1209D5E7" w14:textId="77777777" w:rsidR="00084FDC" w:rsidRPr="007D5C99" w:rsidRDefault="00084FDC" w:rsidP="00084FDC">
      <w:pPr>
        <w:pStyle w:val="ListParagraph"/>
        <w:spacing w:line="276" w:lineRule="auto"/>
        <w:ind w:left="360"/>
        <w:rPr>
          <w:rFonts w:ascii="Acumin Pro" w:hAnsi="Acumin Pro"/>
          <w:snapToGrid w:val="0"/>
          <w:color w:val="262626" w:themeColor="text1" w:themeTint="D9"/>
          <w:sz w:val="24"/>
        </w:rPr>
      </w:pPr>
    </w:p>
    <w:p w14:paraId="2CA37332" w14:textId="77777777" w:rsidR="007D5C99" w:rsidRPr="007D5C99" w:rsidRDefault="007D5C99" w:rsidP="007D5C99">
      <w:pPr>
        <w:pStyle w:val="ListParagraph"/>
        <w:spacing w:line="276" w:lineRule="auto"/>
        <w:ind w:left="1080"/>
        <w:rPr>
          <w:rFonts w:ascii="Acumin Pro" w:hAnsi="Acumin Pro"/>
          <w:snapToGrid w:val="0"/>
          <w:color w:val="262626" w:themeColor="text1" w:themeTint="D9"/>
          <w:sz w:val="24"/>
        </w:rPr>
      </w:pPr>
    </w:p>
    <w:p w14:paraId="15871CAF" w14:textId="54167AA3" w:rsidR="007D5C99" w:rsidRPr="007D5C99" w:rsidRDefault="00295E95" w:rsidP="007D5C99">
      <w:pPr>
        <w:spacing w:line="276" w:lineRule="auto"/>
        <w:rPr>
          <w:rFonts w:ascii="Acumin Pro" w:hAnsi="Acumin Pro"/>
          <w:b/>
          <w:bCs/>
          <w:snapToGrid w:val="0"/>
          <w:color w:val="262626" w:themeColor="text1" w:themeTint="D9"/>
          <w:sz w:val="24"/>
          <w:szCs w:val="24"/>
        </w:rPr>
      </w:pPr>
      <w:r>
        <w:rPr>
          <w:rFonts w:ascii="Acumin Pro" w:hAnsi="Acumin Pro"/>
          <w:b/>
          <w:bCs/>
          <w:snapToGrid w:val="0"/>
          <w:color w:val="262626" w:themeColor="text1" w:themeTint="D9"/>
          <w:sz w:val="24"/>
          <w:szCs w:val="24"/>
        </w:rPr>
        <w:t>Plate-Specific</w:t>
      </w:r>
      <w:r w:rsidR="007D5C99" w:rsidRPr="007D5C99">
        <w:rPr>
          <w:rFonts w:ascii="Acumin Pro" w:hAnsi="Acumin Pro"/>
          <w:b/>
          <w:bCs/>
          <w:snapToGrid w:val="0"/>
          <w:color w:val="262626" w:themeColor="text1" w:themeTint="D9"/>
          <w:sz w:val="24"/>
          <w:szCs w:val="24"/>
        </w:rPr>
        <w:t xml:space="preserve"> </w:t>
      </w:r>
      <w:r>
        <w:rPr>
          <w:rFonts w:ascii="Acumin Pro" w:hAnsi="Acumin Pro"/>
          <w:b/>
          <w:bCs/>
          <w:snapToGrid w:val="0"/>
          <w:color w:val="262626" w:themeColor="text1" w:themeTint="D9"/>
          <w:sz w:val="24"/>
          <w:szCs w:val="24"/>
        </w:rPr>
        <w:t>d</w:t>
      </w:r>
      <w:r w:rsidR="007D5C99" w:rsidRPr="007D5C99">
        <w:rPr>
          <w:rFonts w:ascii="Acumin Pro" w:hAnsi="Acumin Pro"/>
          <w:b/>
          <w:bCs/>
          <w:snapToGrid w:val="0"/>
          <w:color w:val="262626" w:themeColor="text1" w:themeTint="D9"/>
          <w:sz w:val="24"/>
          <w:szCs w:val="24"/>
        </w:rPr>
        <w:t>etails:</w:t>
      </w:r>
    </w:p>
    <w:p w14:paraId="7B641F0A" w14:textId="501D7632" w:rsidR="007D5C99" w:rsidRPr="007D5C99" w:rsidRDefault="007D5C99" w:rsidP="007D5C99">
      <w:pPr>
        <w:pStyle w:val="ListParagraph"/>
        <w:numPr>
          <w:ilvl w:val="0"/>
          <w:numId w:val="6"/>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 xml:space="preserve">Plate material in contact with fluids on hot and cold sides shall be in alloy 316, 0.5mm thick. </w:t>
      </w:r>
    </w:p>
    <w:p w14:paraId="4B07CF0C" w14:textId="7D6BA4D0" w:rsidR="007D5C99" w:rsidRPr="007D5C99" w:rsidRDefault="007D5C99" w:rsidP="007D5C99">
      <w:pPr>
        <w:pStyle w:val="ListParagraph"/>
        <w:numPr>
          <w:ilvl w:val="0"/>
          <w:numId w:val="6"/>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 xml:space="preserve">Each plate shall have an efficient flow distribution area, to maximise use of pumping power for efficient heat transfer. This will help reduce the heat transfer area installed and avoid dead spots for longer operation lifetime. </w:t>
      </w:r>
    </w:p>
    <w:p w14:paraId="059EE87D" w14:textId="35712176" w:rsidR="007D5C99" w:rsidRPr="007D5C99" w:rsidRDefault="007D5C99" w:rsidP="007D5C99">
      <w:pPr>
        <w:pStyle w:val="ListParagraph"/>
        <w:numPr>
          <w:ilvl w:val="0"/>
          <w:numId w:val="6"/>
        </w:numPr>
        <w:spacing w:line="276" w:lineRule="auto"/>
        <w:rPr>
          <w:rFonts w:ascii="Acumin Pro" w:hAnsi="Acumin Pro" w:cs="Arial"/>
          <w:color w:val="262626" w:themeColor="text1" w:themeTint="D9"/>
          <w:sz w:val="24"/>
        </w:rPr>
      </w:pPr>
      <w:r w:rsidRPr="007D5C99">
        <w:rPr>
          <w:rFonts w:ascii="Acumin Pro" w:hAnsi="Acumin Pro"/>
          <w:snapToGrid w:val="0"/>
          <w:color w:val="262626" w:themeColor="text1" w:themeTint="D9"/>
          <w:sz w:val="24"/>
        </w:rPr>
        <w:t xml:space="preserve">All plates shall be </w:t>
      </w:r>
      <w:proofErr w:type="gramStart"/>
      <w:r w:rsidR="00295E95">
        <w:rPr>
          <w:rFonts w:ascii="Acumin Pro" w:hAnsi="Acumin Pro"/>
          <w:snapToGrid w:val="0"/>
          <w:color w:val="262626" w:themeColor="text1" w:themeTint="D9"/>
          <w:sz w:val="24"/>
        </w:rPr>
        <w:t>single-step</w:t>
      </w:r>
      <w:proofErr w:type="gramEnd"/>
      <w:r w:rsidRPr="007D5C99">
        <w:rPr>
          <w:rFonts w:ascii="Acumin Pro" w:hAnsi="Acumin Pro"/>
          <w:snapToGrid w:val="0"/>
          <w:color w:val="262626" w:themeColor="text1" w:themeTint="D9"/>
          <w:sz w:val="24"/>
        </w:rPr>
        <w:t xml:space="preserve"> pressed to secure uniform thickness, have no weak spots and give accurate seating of gasket in the gasket groove. This enables the plate pack to better handle pressure shocks, vibrations, plate fatigue, high operating pressures and high differential pressures.</w:t>
      </w:r>
      <w:r w:rsidRPr="007D5C99">
        <w:rPr>
          <w:rFonts w:ascii="Acumin Pro" w:hAnsi="Acumin Pro" w:cs="Arial"/>
          <w:color w:val="262626" w:themeColor="text1" w:themeTint="D9"/>
          <w:sz w:val="24"/>
        </w:rPr>
        <w:t xml:space="preserve"> </w:t>
      </w:r>
    </w:p>
    <w:p w14:paraId="3C49B0D1" w14:textId="154C3D33" w:rsidR="007D5C99" w:rsidRPr="007D5C99" w:rsidRDefault="007D5C99" w:rsidP="007D5C99">
      <w:pPr>
        <w:pStyle w:val="ListParagraph"/>
        <w:numPr>
          <w:ilvl w:val="0"/>
          <w:numId w:val="6"/>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The plates shall not have holes for attaching of the gasket</w:t>
      </w:r>
      <w:r w:rsidR="00295E95">
        <w:rPr>
          <w:rFonts w:ascii="Acumin Pro" w:hAnsi="Acumin Pro"/>
          <w:snapToGrid w:val="0"/>
          <w:color w:val="262626" w:themeColor="text1" w:themeTint="D9"/>
          <w:sz w:val="24"/>
        </w:rPr>
        <w:t>.</w:t>
      </w:r>
    </w:p>
    <w:p w14:paraId="72111E9C" w14:textId="28D4899F" w:rsidR="007D5C99" w:rsidRPr="007D5C99" w:rsidRDefault="007D5C99" w:rsidP="007D5C99">
      <w:pPr>
        <w:pStyle w:val="ListParagraph"/>
        <w:numPr>
          <w:ilvl w:val="0"/>
          <w:numId w:val="6"/>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lastRenderedPageBreak/>
        <w:t>All plates shall be marked with a charge number for full traceability</w:t>
      </w:r>
      <w:r w:rsidR="00295E95">
        <w:rPr>
          <w:rFonts w:ascii="Acumin Pro" w:hAnsi="Acumin Pro"/>
          <w:snapToGrid w:val="0"/>
          <w:color w:val="262626" w:themeColor="text1" w:themeTint="D9"/>
          <w:sz w:val="24"/>
        </w:rPr>
        <w:t>.</w:t>
      </w:r>
    </w:p>
    <w:p w14:paraId="15D03AF7" w14:textId="77777777" w:rsidR="007D5C99" w:rsidRPr="007D5C99" w:rsidRDefault="007D5C99" w:rsidP="007D5C99">
      <w:pPr>
        <w:pStyle w:val="ListParagraph"/>
        <w:numPr>
          <w:ilvl w:val="0"/>
          <w:numId w:val="6"/>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Fluid inlet and outlet connections should be positioned in parallel on the frame plate and not diagonal to allow ease of installation.</w:t>
      </w:r>
    </w:p>
    <w:p w14:paraId="7072C59B" w14:textId="77777777" w:rsidR="007D5C99" w:rsidRPr="007D5C99" w:rsidRDefault="007D5C99" w:rsidP="007D5C99">
      <w:pPr>
        <w:pStyle w:val="ListParagraph"/>
        <w:numPr>
          <w:ilvl w:val="0"/>
          <w:numId w:val="6"/>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 xml:space="preserve">All plates are being washed after pressing to avoid greasy plates reducing heat transfer. </w:t>
      </w:r>
    </w:p>
    <w:p w14:paraId="6121C7FA" w14:textId="77777777" w:rsidR="007D5C99" w:rsidRPr="007D5C99" w:rsidRDefault="007D5C99" w:rsidP="007D5C99">
      <w:pPr>
        <w:pStyle w:val="ListParagraph"/>
        <w:numPr>
          <w:ilvl w:val="0"/>
          <w:numId w:val="6"/>
        </w:numPr>
        <w:spacing w:line="276" w:lineRule="auto"/>
        <w:rPr>
          <w:rFonts w:ascii="Acumin Pro" w:hAnsi="Acumin Pro"/>
          <w:snapToGrid w:val="0"/>
          <w:color w:val="000000" w:themeColor="text1"/>
          <w:sz w:val="24"/>
          <w:u w:val="single"/>
        </w:rPr>
      </w:pPr>
      <w:r w:rsidRPr="007D5C99">
        <w:rPr>
          <w:rFonts w:ascii="Acumin Pro" w:hAnsi="Acumin Pro"/>
          <w:snapToGrid w:val="0"/>
          <w:color w:val="000000" w:themeColor="text1"/>
          <w:sz w:val="24"/>
          <w:u w:val="single"/>
        </w:rPr>
        <w:t>For 150 mm connection and above:</w:t>
      </w:r>
      <w:r w:rsidRPr="007D5C99">
        <w:rPr>
          <w:rFonts w:ascii="Acumin Pro" w:hAnsi="Acumin Pro"/>
          <w:snapToGrid w:val="0"/>
          <w:color w:val="000000" w:themeColor="text1"/>
          <w:sz w:val="24"/>
        </w:rPr>
        <w:t xml:space="preserve"> </w:t>
      </w:r>
    </w:p>
    <w:p w14:paraId="748637E8" w14:textId="0BEDDE2C" w:rsidR="007D5C99" w:rsidRPr="00084FDC" w:rsidRDefault="007D5C99" w:rsidP="007D5C99">
      <w:pPr>
        <w:pStyle w:val="ListParagraph"/>
        <w:numPr>
          <w:ilvl w:val="1"/>
          <w:numId w:val="6"/>
        </w:numPr>
        <w:spacing w:line="276" w:lineRule="auto"/>
        <w:rPr>
          <w:rFonts w:ascii="Acumin Pro" w:hAnsi="Acumin Pro"/>
          <w:snapToGrid w:val="0"/>
          <w:color w:val="000000" w:themeColor="text1"/>
          <w:sz w:val="24"/>
          <w:u w:val="single"/>
        </w:rPr>
      </w:pPr>
      <w:r w:rsidRPr="007D5C99">
        <w:rPr>
          <w:rFonts w:ascii="Acumin Pro" w:hAnsi="Acumin Pro"/>
          <w:snapToGrid w:val="0"/>
          <w:color w:val="262626" w:themeColor="text1" w:themeTint="D9"/>
          <w:sz w:val="24"/>
        </w:rPr>
        <w:t xml:space="preserve">Each plate shall have a </w:t>
      </w:r>
      <w:r w:rsidR="000B209F">
        <w:rPr>
          <w:rFonts w:ascii="Acumin Pro" w:hAnsi="Acumin Pro"/>
          <w:snapToGrid w:val="0"/>
          <w:color w:val="262626" w:themeColor="text1" w:themeTint="D9"/>
          <w:sz w:val="24"/>
        </w:rPr>
        <w:t>built-in five-point</w:t>
      </w:r>
      <w:r w:rsidRPr="007D5C99">
        <w:rPr>
          <w:rFonts w:ascii="Acumin Pro" w:hAnsi="Acumin Pro"/>
          <w:snapToGrid w:val="0"/>
          <w:color w:val="262626" w:themeColor="text1" w:themeTint="D9"/>
          <w:sz w:val="24"/>
        </w:rPr>
        <w:t xml:space="preserve"> alignment system to accurately locate the plates in the frame assembly to prevent lateral plate movement under pressure. </w:t>
      </w:r>
      <w:r w:rsidR="000B209F">
        <w:rPr>
          <w:rFonts w:ascii="Acumin Pro" w:hAnsi="Acumin Pro"/>
          <w:snapToGrid w:val="0"/>
          <w:color w:val="262626" w:themeColor="text1" w:themeTint="D9"/>
          <w:sz w:val="24"/>
        </w:rPr>
        <w:t>Five-point</w:t>
      </w:r>
      <w:r w:rsidRPr="007D5C99">
        <w:rPr>
          <w:rFonts w:ascii="Acumin Pro" w:hAnsi="Acumin Pro"/>
          <w:snapToGrid w:val="0"/>
          <w:color w:val="262626" w:themeColor="text1" w:themeTint="D9"/>
          <w:sz w:val="24"/>
        </w:rPr>
        <w:t xml:space="preserve"> alignments also give superior sealing throughout the plate pack and make closing of the heat exchanger after service easier. </w:t>
      </w:r>
    </w:p>
    <w:p w14:paraId="5A70A5A9" w14:textId="77777777" w:rsidR="00084FDC" w:rsidRPr="007D5C99" w:rsidRDefault="00084FDC" w:rsidP="00084FDC">
      <w:pPr>
        <w:pStyle w:val="ListParagraph"/>
        <w:spacing w:line="276" w:lineRule="auto"/>
        <w:ind w:left="1080"/>
        <w:rPr>
          <w:rFonts w:ascii="Acumin Pro" w:hAnsi="Acumin Pro"/>
          <w:snapToGrid w:val="0"/>
          <w:color w:val="000000" w:themeColor="text1"/>
          <w:sz w:val="24"/>
          <w:u w:val="single"/>
        </w:rPr>
      </w:pPr>
    </w:p>
    <w:p w14:paraId="37ADE931" w14:textId="77777777" w:rsidR="007D5C99" w:rsidRPr="007D5C99" w:rsidRDefault="007D5C99" w:rsidP="007D5C99">
      <w:pPr>
        <w:pStyle w:val="ListParagraph"/>
        <w:spacing w:line="276" w:lineRule="auto"/>
        <w:ind w:left="360"/>
        <w:rPr>
          <w:rFonts w:ascii="Acumin Pro" w:hAnsi="Acumin Pro"/>
          <w:snapToGrid w:val="0"/>
          <w:color w:val="000000" w:themeColor="text1"/>
          <w:sz w:val="24"/>
          <w:u w:val="single"/>
        </w:rPr>
      </w:pPr>
    </w:p>
    <w:p w14:paraId="2BB6B606" w14:textId="77777777" w:rsidR="007D5C99" w:rsidRPr="007D5C99" w:rsidRDefault="007D5C99" w:rsidP="007D5C99">
      <w:pPr>
        <w:spacing w:line="276" w:lineRule="auto"/>
        <w:rPr>
          <w:rFonts w:ascii="Acumin Pro" w:hAnsi="Acumin Pro"/>
          <w:b/>
          <w:bCs/>
          <w:snapToGrid w:val="0"/>
          <w:color w:val="262626" w:themeColor="text1" w:themeTint="D9"/>
          <w:sz w:val="24"/>
          <w:szCs w:val="24"/>
        </w:rPr>
      </w:pPr>
      <w:r w:rsidRPr="007D5C99">
        <w:rPr>
          <w:rFonts w:ascii="Acumin Pro" w:hAnsi="Acumin Pro"/>
          <w:b/>
          <w:bCs/>
          <w:snapToGrid w:val="0"/>
          <w:color w:val="262626" w:themeColor="text1" w:themeTint="D9"/>
          <w:sz w:val="24"/>
          <w:szCs w:val="24"/>
        </w:rPr>
        <w:t>Gasket specifications:</w:t>
      </w:r>
    </w:p>
    <w:p w14:paraId="1B71DA80" w14:textId="77777777" w:rsidR="007D5C99" w:rsidRPr="007D5C99" w:rsidRDefault="007D5C99" w:rsidP="007D5C99">
      <w:pPr>
        <w:pStyle w:val="ListParagraph"/>
        <w:numPr>
          <w:ilvl w:val="0"/>
          <w:numId w:val="7"/>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 xml:space="preserve">Gaskets must not be glued on the plate. </w:t>
      </w:r>
    </w:p>
    <w:p w14:paraId="79D81D90" w14:textId="77777777" w:rsidR="007D5C99" w:rsidRPr="007D5C99" w:rsidRDefault="007D5C99" w:rsidP="007D5C99">
      <w:pPr>
        <w:pStyle w:val="ListParagraph"/>
        <w:numPr>
          <w:ilvl w:val="0"/>
          <w:numId w:val="7"/>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 xml:space="preserve">Gasket material to be NBR Clip Grip for temperatures of 120 </w:t>
      </w:r>
      <w:r w:rsidRPr="007D5C99">
        <w:rPr>
          <w:rFonts w:ascii="Acumin Pro" w:hAnsi="Acumin Pro" w:cs="Arial"/>
          <w:snapToGrid w:val="0"/>
          <w:color w:val="000000" w:themeColor="text1"/>
          <w:sz w:val="24"/>
        </w:rPr>
        <w:t>°</w:t>
      </w:r>
      <w:r w:rsidRPr="007D5C99">
        <w:rPr>
          <w:rFonts w:ascii="Acumin Pro" w:hAnsi="Acumin Pro"/>
          <w:snapToGrid w:val="0"/>
          <w:color w:val="000000" w:themeColor="text1"/>
          <w:sz w:val="24"/>
        </w:rPr>
        <w:t xml:space="preserve">C and below, </w:t>
      </w:r>
    </w:p>
    <w:p w14:paraId="72F31EF0" w14:textId="5AEF5280" w:rsidR="007D5C99" w:rsidRPr="007D5C99" w:rsidRDefault="007D5C99" w:rsidP="007D5C99">
      <w:pPr>
        <w:pStyle w:val="ListParagraph"/>
        <w:numPr>
          <w:ilvl w:val="0"/>
          <w:numId w:val="7"/>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All gaskets shall be locked into the groove</w:t>
      </w:r>
      <w:r w:rsidR="00084FDC">
        <w:rPr>
          <w:rFonts w:ascii="Acumin Pro" w:hAnsi="Acumin Pro"/>
          <w:snapToGrid w:val="0"/>
          <w:color w:val="000000" w:themeColor="text1"/>
          <w:sz w:val="24"/>
        </w:rPr>
        <w:t>.</w:t>
      </w:r>
    </w:p>
    <w:p w14:paraId="73F6C051" w14:textId="77777777" w:rsidR="007D5C99" w:rsidRPr="007D5C99" w:rsidRDefault="007D5C99" w:rsidP="007D5C99">
      <w:pPr>
        <w:pStyle w:val="ListParagraph"/>
        <w:numPr>
          <w:ilvl w:val="0"/>
          <w:numId w:val="7"/>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 xml:space="preserve">Gaskets shall have a roof top or ribbed top cross section design to ensure superior sealing performance. </w:t>
      </w:r>
    </w:p>
    <w:p w14:paraId="5C3CC940" w14:textId="77777777" w:rsidR="007D5C99" w:rsidRPr="007D5C99" w:rsidRDefault="007D5C99" w:rsidP="007D5C99">
      <w:pPr>
        <w:pStyle w:val="ListParagraph"/>
        <w:numPr>
          <w:ilvl w:val="0"/>
          <w:numId w:val="7"/>
        </w:numPr>
        <w:spacing w:line="276" w:lineRule="auto"/>
        <w:rPr>
          <w:rFonts w:ascii="Acumin Pro" w:hAnsi="Acumin Pro"/>
          <w:color w:val="262626" w:themeColor="text1" w:themeTint="D9"/>
          <w:sz w:val="24"/>
        </w:rPr>
      </w:pPr>
      <w:r w:rsidRPr="007D5C99">
        <w:rPr>
          <w:rFonts w:ascii="Acumin Pro" w:eastAsia="Arial" w:hAnsi="Acumin Pro" w:cs="Arial"/>
          <w:sz w:val="24"/>
        </w:rPr>
        <w:t>Gasket profile tailored to fit the plate type and thickness – longer lifetime of gaskets and</w:t>
      </w:r>
      <w:r w:rsidRPr="007D5C99">
        <w:rPr>
          <w:rFonts w:ascii="Acumin Pro" w:eastAsia="Arial" w:hAnsi="Acumin Pro" w:cs="Arial"/>
          <w:spacing w:val="-26"/>
          <w:sz w:val="24"/>
        </w:rPr>
        <w:t xml:space="preserve"> </w:t>
      </w:r>
      <w:r w:rsidRPr="007D5C99">
        <w:rPr>
          <w:rFonts w:ascii="Acumin Pro" w:eastAsia="Arial" w:hAnsi="Acumin Pro" w:cs="Arial"/>
          <w:sz w:val="24"/>
        </w:rPr>
        <w:t xml:space="preserve">plates. </w:t>
      </w:r>
    </w:p>
    <w:p w14:paraId="230196C3" w14:textId="77777777" w:rsidR="007D5C99" w:rsidRDefault="007D5C99" w:rsidP="007D5C99">
      <w:pPr>
        <w:pStyle w:val="ListParagraph"/>
        <w:numPr>
          <w:ilvl w:val="0"/>
          <w:numId w:val="7"/>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All gaskets shall be marked with a colour code for identification of gasket material from the outside of an assembled plate heat exchanger.</w:t>
      </w:r>
    </w:p>
    <w:p w14:paraId="6C99764C" w14:textId="77777777" w:rsidR="00084FDC" w:rsidRPr="007D5C99" w:rsidRDefault="00084FDC" w:rsidP="00084FDC">
      <w:pPr>
        <w:pStyle w:val="ListParagraph"/>
        <w:spacing w:line="276" w:lineRule="auto"/>
        <w:ind w:left="360"/>
        <w:rPr>
          <w:rFonts w:ascii="Acumin Pro" w:hAnsi="Acumin Pro"/>
          <w:snapToGrid w:val="0"/>
          <w:color w:val="262626" w:themeColor="text1" w:themeTint="D9"/>
          <w:sz w:val="24"/>
        </w:rPr>
      </w:pPr>
    </w:p>
    <w:p w14:paraId="0F0169A5" w14:textId="77777777" w:rsidR="007D5C99" w:rsidRPr="007D5C99" w:rsidRDefault="007D5C99" w:rsidP="007D5C99">
      <w:pPr>
        <w:pStyle w:val="ListParagraph"/>
        <w:ind w:left="1080"/>
        <w:rPr>
          <w:rFonts w:ascii="Acumin Pro" w:hAnsi="Acumin Pro"/>
          <w:snapToGrid w:val="0"/>
          <w:color w:val="262626" w:themeColor="text1" w:themeTint="D9"/>
          <w:sz w:val="24"/>
        </w:rPr>
      </w:pPr>
    </w:p>
    <w:p w14:paraId="443E9843" w14:textId="77777777" w:rsidR="007D5C99" w:rsidRPr="007D5C99" w:rsidRDefault="007D5C99" w:rsidP="007D5C99">
      <w:pPr>
        <w:rPr>
          <w:rFonts w:ascii="Acumin Pro" w:hAnsi="Acumin Pro"/>
          <w:b/>
          <w:bCs/>
          <w:snapToGrid w:val="0"/>
          <w:color w:val="262626" w:themeColor="text1" w:themeTint="D9"/>
          <w:sz w:val="24"/>
          <w:szCs w:val="24"/>
        </w:rPr>
      </w:pPr>
      <w:r w:rsidRPr="007D5C99">
        <w:rPr>
          <w:rFonts w:ascii="Acumin Pro" w:hAnsi="Acumin Pro"/>
          <w:b/>
          <w:bCs/>
          <w:snapToGrid w:val="0"/>
          <w:color w:val="262626" w:themeColor="text1" w:themeTint="D9"/>
          <w:sz w:val="24"/>
          <w:szCs w:val="24"/>
        </w:rPr>
        <w:t>Frame specifications:</w:t>
      </w:r>
    </w:p>
    <w:p w14:paraId="30641A75" w14:textId="77777777" w:rsidR="007D5C99" w:rsidRPr="007D5C99" w:rsidRDefault="007D5C99" w:rsidP="007D5C99">
      <w:pPr>
        <w:pStyle w:val="ListParagraph"/>
        <w:numPr>
          <w:ilvl w:val="0"/>
          <w:numId w:val="4"/>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Frame plate shall have flange stud bolts or threaded pipes assembled around the connections.</w:t>
      </w:r>
    </w:p>
    <w:p w14:paraId="0B57C55C" w14:textId="2A3CE094" w:rsidR="007D5C99" w:rsidRPr="007D5C99" w:rsidRDefault="007D5C99" w:rsidP="007D5C99">
      <w:pPr>
        <w:pStyle w:val="ListParagraph"/>
        <w:numPr>
          <w:ilvl w:val="0"/>
          <w:numId w:val="4"/>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External threaded pipe connections shall not be welded onto the frame plate.</w:t>
      </w:r>
    </w:p>
    <w:p w14:paraId="413B1F82" w14:textId="77777777" w:rsidR="007D5C99" w:rsidRPr="007D5C99" w:rsidRDefault="007D5C99" w:rsidP="007D5C99">
      <w:pPr>
        <w:pStyle w:val="ListParagraph"/>
        <w:numPr>
          <w:ilvl w:val="0"/>
          <w:numId w:val="4"/>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 xml:space="preserve">Frame and pressure plate shall have side slot tilted bolt hole geometry (not holes in frame) to allow small footprint, easier and safer maintenance. </w:t>
      </w:r>
    </w:p>
    <w:p w14:paraId="143483D7" w14:textId="77777777" w:rsidR="007D5C99" w:rsidRPr="007D5C99" w:rsidRDefault="007D5C99" w:rsidP="007D5C99">
      <w:pPr>
        <w:pStyle w:val="ListParagraph"/>
        <w:numPr>
          <w:ilvl w:val="0"/>
          <w:numId w:val="4"/>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Frame and pressure plate, tightening bolts/nuts and pipe connections shall be market with charge number for full traceability.</w:t>
      </w:r>
    </w:p>
    <w:p w14:paraId="3DB278C4" w14:textId="77777777" w:rsidR="007D5C99" w:rsidRPr="007D5C99" w:rsidRDefault="007D5C99" w:rsidP="007D5C99">
      <w:pPr>
        <w:pStyle w:val="ListParagraph"/>
        <w:numPr>
          <w:ilvl w:val="0"/>
          <w:numId w:val="4"/>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 xml:space="preserve">Frame and pressure plate shall have lifting holes in the upper corners. </w:t>
      </w:r>
    </w:p>
    <w:p w14:paraId="02CFD0BF" w14:textId="77777777" w:rsidR="007D5C99" w:rsidRPr="007D5C99" w:rsidRDefault="007D5C99" w:rsidP="007D5C99">
      <w:pPr>
        <w:pStyle w:val="ListParagraph"/>
        <w:numPr>
          <w:ilvl w:val="0"/>
          <w:numId w:val="4"/>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The unit should have feet supplied for fixing at front and back.</w:t>
      </w:r>
    </w:p>
    <w:p w14:paraId="7987E52F" w14:textId="77777777" w:rsidR="007D5C99" w:rsidRPr="007D5C99" w:rsidRDefault="007D5C99" w:rsidP="007D5C99">
      <w:pPr>
        <w:pStyle w:val="ListParagraph"/>
        <w:numPr>
          <w:ilvl w:val="0"/>
          <w:numId w:val="4"/>
        </w:numPr>
        <w:spacing w:line="276" w:lineRule="auto"/>
        <w:rPr>
          <w:rFonts w:ascii="Acumin Pro" w:hAnsi="Acumin Pro"/>
          <w:snapToGrid w:val="0"/>
          <w:color w:val="000000" w:themeColor="text1"/>
          <w:sz w:val="24"/>
          <w:u w:val="single"/>
        </w:rPr>
      </w:pPr>
      <w:r w:rsidRPr="007D5C99">
        <w:rPr>
          <w:rFonts w:ascii="Acumin Pro" w:hAnsi="Acumin Pro"/>
          <w:snapToGrid w:val="0"/>
          <w:color w:val="000000" w:themeColor="text1"/>
          <w:sz w:val="24"/>
          <w:u w:val="single"/>
        </w:rPr>
        <w:lastRenderedPageBreak/>
        <w:t xml:space="preserve">For 150 mm connection and above: </w:t>
      </w:r>
    </w:p>
    <w:p w14:paraId="6D7025F3" w14:textId="77777777" w:rsidR="007D5C99" w:rsidRPr="007D5C99" w:rsidRDefault="007D5C99" w:rsidP="007D5C99">
      <w:pPr>
        <w:pStyle w:val="ListParagraph"/>
        <w:numPr>
          <w:ilvl w:val="1"/>
          <w:numId w:val="3"/>
        </w:numPr>
        <w:spacing w:line="276" w:lineRule="auto"/>
        <w:rPr>
          <w:rFonts w:ascii="Acumin Pro" w:hAnsi="Acumin Pro"/>
          <w:snapToGrid w:val="0"/>
          <w:color w:val="262626" w:themeColor="text1" w:themeTint="D9"/>
          <w:sz w:val="24"/>
        </w:rPr>
      </w:pPr>
      <w:r w:rsidRPr="007D5C99">
        <w:rPr>
          <w:rFonts w:ascii="Acumin Pro" w:hAnsi="Acumin Pro"/>
          <w:snapToGrid w:val="0"/>
          <w:color w:val="000000" w:themeColor="text1"/>
          <w:sz w:val="24"/>
        </w:rPr>
        <w:t xml:space="preserve">The main tightening bolts shall have bearing boxes to support easy opening and closing of the heat exchanger. </w:t>
      </w:r>
    </w:p>
    <w:p w14:paraId="026CBF03" w14:textId="77777777" w:rsidR="007D5C99" w:rsidRPr="007D5C99" w:rsidRDefault="007D5C99" w:rsidP="007D5C99">
      <w:pPr>
        <w:pStyle w:val="ListParagraph"/>
        <w:numPr>
          <w:ilvl w:val="1"/>
          <w:numId w:val="3"/>
        </w:numPr>
        <w:spacing w:line="276" w:lineRule="auto"/>
        <w:rPr>
          <w:rFonts w:ascii="Acumin Pro" w:hAnsi="Acumin Pro"/>
          <w:snapToGrid w:val="0"/>
          <w:color w:val="000000" w:themeColor="text1"/>
          <w:sz w:val="24"/>
        </w:rPr>
      </w:pPr>
      <w:r w:rsidRPr="007D5C99">
        <w:rPr>
          <w:rFonts w:ascii="Acumin Pro" w:hAnsi="Acumin Pro"/>
          <w:snapToGrid w:val="0"/>
          <w:color w:val="000000" w:themeColor="text1"/>
          <w:sz w:val="24"/>
        </w:rPr>
        <w:t xml:space="preserve">Pressure plate shall have Stainless Steel roller sliding on the carrying bar to enable easy opening and closing. </w:t>
      </w:r>
    </w:p>
    <w:p w14:paraId="20E88094" w14:textId="77777777" w:rsidR="007D5C99" w:rsidRPr="007D5C99" w:rsidRDefault="007D5C99" w:rsidP="007D5C99">
      <w:pPr>
        <w:pStyle w:val="ListParagraph"/>
        <w:numPr>
          <w:ilvl w:val="1"/>
          <w:numId w:val="3"/>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The tightening bolts shall have lock washers to support easy opening and closing by one person.</w:t>
      </w:r>
      <w:r w:rsidRPr="007D5C99">
        <w:rPr>
          <w:rFonts w:ascii="Acumin Pro" w:hAnsi="Acumin Pro"/>
          <w:sz w:val="24"/>
        </w:rPr>
        <w:t xml:space="preserve"> </w:t>
      </w:r>
    </w:p>
    <w:p w14:paraId="41E17C5D" w14:textId="77777777" w:rsidR="007D5C99" w:rsidRDefault="007D5C99" w:rsidP="007D5C99">
      <w:pPr>
        <w:pStyle w:val="ListParagraph"/>
        <w:numPr>
          <w:ilvl w:val="1"/>
          <w:numId w:val="3"/>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 xml:space="preserve">The tightening bolts shall have fixed bolt head. </w:t>
      </w:r>
    </w:p>
    <w:p w14:paraId="212610D9" w14:textId="7C804CB4" w:rsidR="007D5C99" w:rsidRPr="007D5C99" w:rsidRDefault="007D5C99" w:rsidP="007D5C99">
      <w:pPr>
        <w:pStyle w:val="ListParagraph"/>
        <w:numPr>
          <w:ilvl w:val="1"/>
          <w:numId w:val="3"/>
        </w:numPr>
        <w:spacing w:line="276" w:lineRule="auto"/>
        <w:rPr>
          <w:rFonts w:ascii="Acumin Pro" w:hAnsi="Acumin Pro"/>
          <w:snapToGrid w:val="0"/>
          <w:color w:val="262626" w:themeColor="text1" w:themeTint="D9"/>
          <w:sz w:val="24"/>
        </w:rPr>
      </w:pPr>
      <w:r w:rsidRPr="007D5C99">
        <w:rPr>
          <w:rFonts w:ascii="Acumin Pro" w:hAnsi="Acumin Pro"/>
          <w:snapToGrid w:val="0"/>
          <w:color w:val="262626" w:themeColor="text1" w:themeTint="D9"/>
          <w:sz w:val="24"/>
        </w:rPr>
        <w:t>The tightening bolts shall have plastic cover over the threads</w:t>
      </w:r>
      <w:r w:rsidR="00084FDC">
        <w:rPr>
          <w:rFonts w:ascii="Acumin Pro" w:hAnsi="Acumin Pro"/>
          <w:snapToGrid w:val="0"/>
          <w:color w:val="262626" w:themeColor="text1" w:themeTint="D9"/>
          <w:sz w:val="24"/>
        </w:rPr>
        <w:t>.</w:t>
      </w:r>
    </w:p>
    <w:p w14:paraId="65A70895" w14:textId="77777777" w:rsidR="00F07C9B" w:rsidRPr="007D5C99" w:rsidRDefault="00F07C9B" w:rsidP="007D5C99">
      <w:pPr>
        <w:rPr>
          <w:rFonts w:ascii="Acumin Pro" w:hAnsi="Acumin Pro"/>
          <w:sz w:val="24"/>
          <w:szCs w:val="24"/>
        </w:rPr>
      </w:pPr>
    </w:p>
    <w:sectPr w:rsidR="00F07C9B" w:rsidRPr="007D5C99" w:rsidSect="00A67545">
      <w:headerReference w:type="default" r:id="rId10"/>
      <w:footerReference w:type="default" r:id="rId11"/>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A653" w14:textId="77777777" w:rsidR="00D56DB0" w:rsidRDefault="00D56DB0" w:rsidP="00A67545">
      <w:pPr>
        <w:spacing w:after="0" w:line="240" w:lineRule="auto"/>
      </w:pPr>
      <w:r>
        <w:separator/>
      </w:r>
    </w:p>
  </w:endnote>
  <w:endnote w:type="continuationSeparator" w:id="0">
    <w:p w14:paraId="035BD1D4" w14:textId="77777777" w:rsidR="00D56DB0" w:rsidRDefault="00D56DB0" w:rsidP="00A6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4FD8" w14:textId="313E5387" w:rsidR="00A67347" w:rsidRDefault="00A67347">
    <w:pPr>
      <w:pStyle w:val="Footer"/>
    </w:pPr>
    <w:r>
      <w:rPr>
        <w:noProof/>
      </w:rPr>
      <w:drawing>
        <wp:anchor distT="0" distB="0" distL="114300" distR="114300" simplePos="0" relativeHeight="251659264" behindDoc="1" locked="0" layoutInCell="1" allowOverlap="1" wp14:anchorId="3F173F2E" wp14:editId="4F2D9C10">
          <wp:simplePos x="0" y="0"/>
          <wp:positionH relativeFrom="page">
            <wp:posOffset>12065</wp:posOffset>
          </wp:positionH>
          <wp:positionV relativeFrom="paragraph">
            <wp:posOffset>-188595</wp:posOffset>
          </wp:positionV>
          <wp:extent cx="7548245" cy="800100"/>
          <wp:effectExtent l="0" t="0" r="0" b="0"/>
          <wp:wrapTight wrapText="bothSides">
            <wp:wrapPolygon edited="0">
              <wp:start x="6760" y="0"/>
              <wp:lineTo x="6542" y="6171"/>
              <wp:lineTo x="10794" y="8229"/>
              <wp:lineTo x="4743" y="8229"/>
              <wp:lineTo x="4688" y="11314"/>
              <wp:lineTo x="6760" y="12343"/>
              <wp:lineTo x="14501" y="12343"/>
              <wp:lineTo x="16899" y="11314"/>
              <wp:lineTo x="16790" y="8229"/>
              <wp:lineTo x="13628" y="8229"/>
              <wp:lineTo x="15100" y="5143"/>
              <wp:lineTo x="15046" y="0"/>
              <wp:lineTo x="676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8245" cy="800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426D" w14:textId="77777777" w:rsidR="00D56DB0" w:rsidRDefault="00D56DB0" w:rsidP="00A67545">
      <w:pPr>
        <w:spacing w:after="0" w:line="240" w:lineRule="auto"/>
      </w:pPr>
      <w:r>
        <w:separator/>
      </w:r>
    </w:p>
  </w:footnote>
  <w:footnote w:type="continuationSeparator" w:id="0">
    <w:p w14:paraId="10084235" w14:textId="77777777" w:rsidR="00D56DB0" w:rsidRDefault="00D56DB0" w:rsidP="00A6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7976" w14:textId="3E73DF87" w:rsidR="00A67545" w:rsidRDefault="00A67545">
    <w:pPr>
      <w:pStyle w:val="Header"/>
    </w:pPr>
    <w:r>
      <w:rPr>
        <w:noProof/>
      </w:rPr>
      <w:drawing>
        <wp:anchor distT="0" distB="0" distL="114300" distR="114300" simplePos="0" relativeHeight="251658240" behindDoc="1" locked="0" layoutInCell="1" allowOverlap="1" wp14:anchorId="7E5313FB" wp14:editId="2F471A25">
          <wp:simplePos x="0" y="0"/>
          <wp:positionH relativeFrom="page">
            <wp:align>left</wp:align>
          </wp:positionH>
          <wp:positionV relativeFrom="paragraph">
            <wp:posOffset>-457200</wp:posOffset>
          </wp:positionV>
          <wp:extent cx="7539355" cy="1089660"/>
          <wp:effectExtent l="0" t="0" r="0" b="0"/>
          <wp:wrapTight wrapText="bothSides">
            <wp:wrapPolygon edited="0">
              <wp:start x="1910" y="9441"/>
              <wp:lineTo x="1801" y="11329"/>
              <wp:lineTo x="1419" y="16238"/>
              <wp:lineTo x="1092" y="21147"/>
              <wp:lineTo x="3384" y="21147"/>
              <wp:lineTo x="3875" y="21147"/>
              <wp:lineTo x="4421" y="18503"/>
              <wp:lineTo x="4421" y="16238"/>
              <wp:lineTo x="4803" y="9441"/>
              <wp:lineTo x="1910" y="944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62461" cy="10929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1AD"/>
    <w:multiLevelType w:val="hybridMultilevel"/>
    <w:tmpl w:val="FF8435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3D65B01"/>
    <w:multiLevelType w:val="hybridMultilevel"/>
    <w:tmpl w:val="7A629B10"/>
    <w:lvl w:ilvl="0" w:tplc="0EC2AB90">
      <w:start w:val="8"/>
      <w:numFmt w:val="bullet"/>
      <w:lvlText w:val="-"/>
      <w:lvlJc w:val="left"/>
      <w:pPr>
        <w:ind w:left="360" w:hanging="360"/>
      </w:pPr>
      <w:rPr>
        <w:rFonts w:ascii="Arial" w:eastAsia="Batang"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8263DF4"/>
    <w:multiLevelType w:val="hybridMultilevel"/>
    <w:tmpl w:val="F064CF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07175C4"/>
    <w:multiLevelType w:val="hybridMultilevel"/>
    <w:tmpl w:val="6D1EA024"/>
    <w:lvl w:ilvl="0" w:tplc="0EC2AB90">
      <w:start w:val="8"/>
      <w:numFmt w:val="bullet"/>
      <w:lvlText w:val="-"/>
      <w:lvlJc w:val="left"/>
      <w:pPr>
        <w:ind w:left="360" w:hanging="360"/>
      </w:pPr>
      <w:rPr>
        <w:rFonts w:ascii="Arial" w:eastAsia="Batang" w:hAnsi="Arial" w:cs="Arial" w:hint="default"/>
      </w:rPr>
    </w:lvl>
    <w:lvl w:ilvl="1" w:tplc="0EC2AB90">
      <w:start w:val="8"/>
      <w:numFmt w:val="bullet"/>
      <w:lvlText w:val="-"/>
      <w:lvlJc w:val="left"/>
      <w:pPr>
        <w:ind w:left="1080" w:hanging="360"/>
      </w:pPr>
      <w:rPr>
        <w:rFonts w:ascii="Arial" w:eastAsia="Batang" w:hAnsi="Arial" w:cs="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28928DB"/>
    <w:multiLevelType w:val="hybridMultilevel"/>
    <w:tmpl w:val="1E0E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56888"/>
    <w:multiLevelType w:val="hybridMultilevel"/>
    <w:tmpl w:val="D000472E"/>
    <w:lvl w:ilvl="0" w:tplc="041D0001">
      <w:start w:val="1"/>
      <w:numFmt w:val="bullet"/>
      <w:lvlText w:val=""/>
      <w:lvlJc w:val="left"/>
      <w:pPr>
        <w:ind w:left="360" w:hanging="360"/>
      </w:pPr>
      <w:rPr>
        <w:rFonts w:ascii="Symbol" w:hAnsi="Symbol" w:hint="default"/>
      </w:rPr>
    </w:lvl>
    <w:lvl w:ilvl="1" w:tplc="0EC2AB90">
      <w:start w:val="8"/>
      <w:numFmt w:val="bullet"/>
      <w:lvlText w:val="-"/>
      <w:lvlJc w:val="left"/>
      <w:pPr>
        <w:ind w:left="1080" w:hanging="360"/>
      </w:pPr>
      <w:rPr>
        <w:rFonts w:ascii="Arial" w:eastAsia="Batang" w:hAnsi="Arial" w:cs="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7C30105"/>
    <w:multiLevelType w:val="hybridMultilevel"/>
    <w:tmpl w:val="7C9AB5F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871646578">
    <w:abstractNumId w:val="4"/>
  </w:num>
  <w:num w:numId="2" w16cid:durableId="1284532813">
    <w:abstractNumId w:val="1"/>
  </w:num>
  <w:num w:numId="3" w16cid:durableId="2081825506">
    <w:abstractNumId w:val="3"/>
  </w:num>
  <w:num w:numId="4" w16cid:durableId="203106684">
    <w:abstractNumId w:val="0"/>
  </w:num>
  <w:num w:numId="5" w16cid:durableId="1927809151">
    <w:abstractNumId w:val="2"/>
  </w:num>
  <w:num w:numId="6" w16cid:durableId="488599026">
    <w:abstractNumId w:val="5"/>
  </w:num>
  <w:num w:numId="7" w16cid:durableId="549730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A5"/>
    <w:rsid w:val="0006132E"/>
    <w:rsid w:val="00084FDC"/>
    <w:rsid w:val="000859B9"/>
    <w:rsid w:val="000B209F"/>
    <w:rsid w:val="001B21A5"/>
    <w:rsid w:val="00291710"/>
    <w:rsid w:val="00295E95"/>
    <w:rsid w:val="005E506C"/>
    <w:rsid w:val="007D5C99"/>
    <w:rsid w:val="00A67347"/>
    <w:rsid w:val="00A67545"/>
    <w:rsid w:val="00B00C7A"/>
    <w:rsid w:val="00D27C4C"/>
    <w:rsid w:val="00D56DB0"/>
    <w:rsid w:val="00DC7657"/>
    <w:rsid w:val="00DD09C6"/>
    <w:rsid w:val="00F07C9B"/>
    <w:rsid w:val="00F31272"/>
    <w:rsid w:val="00F95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63FB"/>
  <w15:chartTrackingRefBased/>
  <w15:docId w15:val="{A66C076C-E133-4602-978C-3687F218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7A"/>
    <w:pPr>
      <w:suppressAutoHyphens/>
      <w:autoSpaceDE w:val="0"/>
      <w:autoSpaceDN w:val="0"/>
      <w:adjustRightInd w:val="0"/>
      <w:spacing w:after="170" w:line="288" w:lineRule="auto"/>
      <w:ind w:right="-1"/>
      <w:textAlignment w:val="center"/>
    </w:pPr>
    <w:rPr>
      <w:rFonts w:ascii="Arial" w:hAnsi="Arial" w:cs="Arial"/>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545"/>
    <w:pPr>
      <w:tabs>
        <w:tab w:val="center" w:pos="4513"/>
        <w:tab w:val="right" w:pos="9026"/>
      </w:tabs>
      <w:suppressAutoHyphens w:val="0"/>
      <w:autoSpaceDE/>
      <w:autoSpaceDN/>
      <w:adjustRightInd/>
      <w:spacing w:after="0" w:line="240" w:lineRule="auto"/>
      <w:ind w:right="0"/>
      <w:textAlignment w:val="auto"/>
    </w:pPr>
    <w:rPr>
      <w:rFonts w:asciiTheme="minorHAnsi" w:hAnsiTheme="minorHAnsi" w:cstheme="minorBidi"/>
      <w:color w:val="auto"/>
      <w:lang w:val="en-AU"/>
    </w:rPr>
  </w:style>
  <w:style w:type="character" w:customStyle="1" w:styleId="HeaderChar">
    <w:name w:val="Header Char"/>
    <w:basedOn w:val="DefaultParagraphFont"/>
    <w:link w:val="Header"/>
    <w:uiPriority w:val="99"/>
    <w:rsid w:val="00A67545"/>
  </w:style>
  <w:style w:type="paragraph" w:styleId="Footer">
    <w:name w:val="footer"/>
    <w:basedOn w:val="Normal"/>
    <w:link w:val="FooterChar"/>
    <w:uiPriority w:val="99"/>
    <w:unhideWhenUsed/>
    <w:rsid w:val="00A67545"/>
    <w:pPr>
      <w:tabs>
        <w:tab w:val="center" w:pos="4513"/>
        <w:tab w:val="right" w:pos="9026"/>
      </w:tabs>
      <w:suppressAutoHyphens w:val="0"/>
      <w:autoSpaceDE/>
      <w:autoSpaceDN/>
      <w:adjustRightInd/>
      <w:spacing w:after="0" w:line="240" w:lineRule="auto"/>
      <w:ind w:right="0"/>
      <w:textAlignment w:val="auto"/>
    </w:pPr>
    <w:rPr>
      <w:rFonts w:asciiTheme="minorHAnsi" w:hAnsiTheme="minorHAnsi" w:cstheme="minorBidi"/>
      <w:color w:val="auto"/>
      <w:lang w:val="en-AU"/>
    </w:rPr>
  </w:style>
  <w:style w:type="character" w:customStyle="1" w:styleId="FooterChar">
    <w:name w:val="Footer Char"/>
    <w:basedOn w:val="DefaultParagraphFont"/>
    <w:link w:val="Footer"/>
    <w:uiPriority w:val="99"/>
    <w:rsid w:val="00A67545"/>
  </w:style>
  <w:style w:type="paragraph" w:styleId="NoSpacing">
    <w:name w:val="No Spacing"/>
    <w:uiPriority w:val="1"/>
    <w:qFormat/>
    <w:rsid w:val="00DC7657"/>
    <w:pPr>
      <w:suppressAutoHyphens/>
      <w:autoSpaceDE w:val="0"/>
      <w:autoSpaceDN w:val="0"/>
      <w:adjustRightInd w:val="0"/>
      <w:spacing w:after="0" w:line="240" w:lineRule="auto"/>
      <w:ind w:right="-1"/>
      <w:textAlignment w:val="center"/>
    </w:pPr>
    <w:rPr>
      <w:rFonts w:ascii="Arial" w:hAnsi="Arial" w:cs="Arial"/>
      <w:color w:val="000000"/>
      <w:lang w:val="en-US"/>
    </w:rPr>
  </w:style>
  <w:style w:type="paragraph" w:customStyle="1" w:styleId="Formtextbox">
    <w:name w:val="Form textbox"/>
    <w:semiHidden/>
    <w:rsid w:val="007D5C99"/>
    <w:pPr>
      <w:spacing w:after="0" w:line="270" w:lineRule="exact"/>
    </w:pPr>
    <w:rPr>
      <w:rFonts w:ascii="Arial" w:eastAsia="Batang" w:hAnsi="Arial" w:cs="Times New Roman"/>
      <w:lang w:val="en-GB" w:eastAsia="ko-KR"/>
    </w:rPr>
  </w:style>
  <w:style w:type="paragraph" w:styleId="ListParagraph">
    <w:name w:val="List Paragraph"/>
    <w:basedOn w:val="Normal"/>
    <w:uiPriority w:val="34"/>
    <w:qFormat/>
    <w:rsid w:val="007D5C99"/>
    <w:pPr>
      <w:suppressAutoHyphens w:val="0"/>
      <w:autoSpaceDE/>
      <w:autoSpaceDN/>
      <w:adjustRightInd/>
      <w:spacing w:after="0" w:line="240" w:lineRule="auto"/>
      <w:ind w:left="720" w:right="0"/>
      <w:contextualSpacing/>
      <w:textAlignment w:val="auto"/>
    </w:pPr>
    <w:rPr>
      <w:rFonts w:eastAsia="Batang" w:cs="Times New Roman"/>
      <w:color w:val="auto"/>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E446F11C58E4ABCC67B00725C6874" ma:contentTypeVersion="18" ma:contentTypeDescription="Create a new document." ma:contentTypeScope="" ma:versionID="ea4c58d62ce372c18d96fd8271f998a5">
  <xsd:schema xmlns:xsd="http://www.w3.org/2001/XMLSchema" xmlns:xs="http://www.w3.org/2001/XMLSchema" xmlns:p="http://schemas.microsoft.com/office/2006/metadata/properties" xmlns:ns2="b54301d6-76dd-4d44-a7e9-e3e42a0b5d88" xmlns:ns3="f4011bcc-30e8-4156-8e18-9952c4344136" targetNamespace="http://schemas.microsoft.com/office/2006/metadata/properties" ma:root="true" ma:fieldsID="6c161a386d279b62c3b41914bed485bc" ns2:_="" ns3:_="">
    <xsd:import namespace="b54301d6-76dd-4d44-a7e9-e3e42a0b5d88"/>
    <xsd:import namespace="f4011bcc-30e8-4156-8e18-9952c4344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301d6-76dd-4d44-a7e9-e3e42a0b5d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87c5a6f-1b2a-4ab0-b097-0d7c832a232b}" ma:internalName="TaxCatchAll" ma:showField="CatchAllData" ma:web="b54301d6-76dd-4d44-a7e9-e3e42a0b5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011bcc-30e8-4156-8e18-9952c43441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6b3520-4438-4d79-8933-7f4d2c5e64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4301d6-76dd-4d44-a7e9-e3e42a0b5d88" xsi:nil="true"/>
    <lcf76f155ced4ddcb4097134ff3c332f xmlns="f4011bcc-30e8-4156-8e18-9952c43441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91C34-F3A4-4011-875A-B75E81C674EA}">
  <ds:schemaRefs>
    <ds:schemaRef ds:uri="http://schemas.microsoft.com/sharepoint/v3/contenttype/forms"/>
  </ds:schemaRefs>
</ds:datastoreItem>
</file>

<file path=customXml/itemProps2.xml><?xml version="1.0" encoding="utf-8"?>
<ds:datastoreItem xmlns:ds="http://schemas.openxmlformats.org/officeDocument/2006/customXml" ds:itemID="{D7266E6A-2F50-4D6C-BEA8-022ED45A2D32}"/>
</file>

<file path=customXml/itemProps3.xml><?xml version="1.0" encoding="utf-8"?>
<ds:datastoreItem xmlns:ds="http://schemas.openxmlformats.org/officeDocument/2006/customXml" ds:itemID="{A4B6B47A-EF20-4DF2-85AD-17BCD33AFA43}">
  <ds:schemaRefs>
    <ds:schemaRef ds:uri="http://schemas.microsoft.com/office/2006/metadata/properties"/>
    <ds:schemaRef ds:uri="http://schemas.microsoft.com/office/infopath/2007/PartnerControls"/>
    <ds:schemaRef ds:uri="b54301d6-76dd-4d44-a7e9-e3e42a0b5d88"/>
    <ds:schemaRef ds:uri="f4011bcc-30e8-4156-8e18-9952c434413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601</Words>
  <Characters>3182</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Mccorkell | Masterflow Solutions</dc:creator>
  <cp:keywords/>
  <dc:description/>
  <cp:lastModifiedBy>Kenzo Currie</cp:lastModifiedBy>
  <cp:revision>9</cp:revision>
  <dcterms:created xsi:type="dcterms:W3CDTF">2022-04-06T04:00:00Z</dcterms:created>
  <dcterms:modified xsi:type="dcterms:W3CDTF">2023-05-31T04:38:00Z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0x010100C58E446F11C58E4ABCC67B00725C6874</vt:lpwstr>
  </property>
  <property fmtid="{D5CDD505-2E9C-101B-9397-08002B2CF9AE}" pid="3" name="GrammarlyDocumentId">
    <vt:lpwstr>656221efb4c3ef2b41e14d9ce1abeb0b42865191c106ec798490539e96822a88</vt:lpwstr>
  </property>
  <property fmtid="{D5CDD505-2E9C-101B-9397-08002B2CF9AE}" pid="4" name="MediaServiceImageTags">
    <vt:lpwstr/>
  </property>
</Properties>
</file>